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A54F9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A54F9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A54F9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A54F9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A54F9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C00E8" w:rsidRDefault="00897BB7" w:rsidP="00A54F9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A4C253" w14:textId="69D46222" w:rsidR="00C30723" w:rsidRPr="00243C28" w:rsidRDefault="00897BB7" w:rsidP="00A54F9D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b/>
          <w:i/>
        </w:rPr>
      </w:pPr>
      <w:r w:rsidRPr="001F148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706BA" w:rsidRPr="002706BA">
        <w:rPr>
          <w:rFonts w:ascii="Arial" w:eastAsia="Calibri" w:hAnsi="Arial" w:cs="Arial"/>
          <w:b/>
          <w:i/>
          <w:sz w:val="20"/>
          <w:szCs w:val="20"/>
        </w:rPr>
        <w:t xml:space="preserve">Budowa zintegrowanej sieci tras rowerowych w Województwie Małopolskim: </w:t>
      </w:r>
      <w:proofErr w:type="spellStart"/>
      <w:r w:rsidR="002706BA" w:rsidRPr="002706BA">
        <w:rPr>
          <w:rFonts w:ascii="Arial" w:eastAsia="Calibri" w:hAnsi="Arial" w:cs="Arial"/>
          <w:b/>
          <w:i/>
          <w:sz w:val="20"/>
          <w:szCs w:val="20"/>
        </w:rPr>
        <w:t>VeloSkawa</w:t>
      </w:r>
      <w:proofErr w:type="spellEnd"/>
      <w:r w:rsidR="002706BA" w:rsidRPr="002706BA">
        <w:rPr>
          <w:rFonts w:ascii="Arial" w:eastAsia="Calibri" w:hAnsi="Arial" w:cs="Arial"/>
          <w:b/>
          <w:i/>
          <w:sz w:val="20"/>
          <w:szCs w:val="20"/>
        </w:rPr>
        <w:t xml:space="preserve"> – odcinek Ponikiewka – Zapora Świnna Poręba</w:t>
      </w:r>
    </w:p>
    <w:p w14:paraId="5AD51752" w14:textId="77777777" w:rsidR="00897BB7" w:rsidRPr="00DC00E8" w:rsidRDefault="00897BB7" w:rsidP="00A54F9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A54F9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A54F9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A54F9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A54F9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A54F9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A54F9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A54F9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A54F9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A54F9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A54F9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A54F9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A54F9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A54F9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A54F9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A54F9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A54F9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A54F9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A54F9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A54F9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A54F9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A54F9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A54F9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A54F9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A54F9D" w:rsidRDefault="00897BB7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F9FA85E" w14:textId="2ECF066C" w:rsidR="00DC00E8" w:rsidRPr="007D7DEB" w:rsidRDefault="00DC00E8" w:rsidP="00A54F9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</w:t>
      </w:r>
      <w:r w:rsidR="002706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="004C4D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 umowy</w:t>
      </w:r>
      <w:r w:rsidR="007D7D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7D7DEB" w:rsidRPr="007D7DEB">
        <w:t xml:space="preserve"> </w:t>
      </w:r>
      <w:r w:rsidR="007D7DEB" w:rsidRPr="007D7D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czym nie pó</w:t>
      </w:r>
      <w:r w:rsidR="007D7D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źniej niż do dnia 15.11.2023 r.</w:t>
      </w:r>
    </w:p>
    <w:p w14:paraId="1F49226A" w14:textId="77777777" w:rsidR="00897BB7" w:rsidRPr="00DC00E8" w:rsidRDefault="00897BB7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A54F9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A54F9D" w:rsidRDefault="00897BB7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3E8B2946" w14:textId="19B3C909" w:rsidR="001F1481" w:rsidRPr="001F45FC" w:rsidRDefault="00897BB7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A54F9D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1F1481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1E718152" w14:textId="77777777" w:rsidR="002706BA" w:rsidRPr="002706BA" w:rsidRDefault="002706BA" w:rsidP="00A54F9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706BA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037AE762" w14:textId="77777777" w:rsidR="002706BA" w:rsidRPr="00A54F9D" w:rsidRDefault="002706BA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1D0B3DBF" w14:textId="6D65E8A6" w:rsidR="002706BA" w:rsidRPr="00DD3D65" w:rsidRDefault="002706BA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2706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ścieżki rowerowej / ciągu pieszo-rowerowego / jezdni drogi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na odcinku długości 1 km,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D3D65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powierzchnia napraw na 1 km</w:t>
      </w:r>
      <w:r w:rsid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466B8"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ścieżki rowerowej</w:t>
      </w:r>
      <w:r w:rsid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466B8"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</w:t>
      </w:r>
      <w:r w:rsid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466B8"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ciągu pieszo-rowerowego</w:t>
      </w:r>
      <w:r w:rsid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466B8"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</w:t>
      </w:r>
      <w:r w:rsid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466B8"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jezdni drogi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534C8321" w14:textId="77777777" w:rsidR="002706BA" w:rsidRPr="00DD3D65" w:rsidRDefault="002706BA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394F726A" w14:textId="77777777" w:rsidR="002706BA" w:rsidRPr="00DD3D65" w:rsidRDefault="002706BA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37E515CA" w14:textId="77777777" w:rsidR="002706BA" w:rsidRPr="0080155B" w:rsidRDefault="002706BA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A81B295" w14:textId="77777777" w:rsidR="002706BA" w:rsidRPr="00DD3D65" w:rsidRDefault="002706BA" w:rsidP="00A54F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276"/>
      </w:tblGrid>
      <w:tr w:rsidR="002706BA" w:rsidRPr="00DD3D65" w14:paraId="0B9C7FD0" w14:textId="77777777" w:rsidTr="00A54F9D">
        <w:trPr>
          <w:trHeight w:val="726"/>
        </w:trPr>
        <w:tc>
          <w:tcPr>
            <w:tcW w:w="5386" w:type="dxa"/>
            <w:shd w:val="clear" w:color="auto" w:fill="D9D9D9"/>
            <w:vAlign w:val="center"/>
          </w:tcPr>
          <w:p w14:paraId="0CACF3EB" w14:textId="68232945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1 km 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jezdni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D3D65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2706BA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ścieżki rowerowej / ciągu pieszo-rowerowego / jezdni drogi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 odcinku długości 1 km,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164686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  <w:t>przy jednej wybranej opcji</w:t>
            </w:r>
          </w:p>
        </w:tc>
      </w:tr>
      <w:tr w:rsidR="002706BA" w:rsidRPr="00DD3D65" w14:paraId="478981B3" w14:textId="77777777" w:rsidTr="00A54F9D">
        <w:trPr>
          <w:trHeight w:val="477"/>
        </w:trPr>
        <w:tc>
          <w:tcPr>
            <w:tcW w:w="5386" w:type="dxa"/>
            <w:shd w:val="clear" w:color="auto" w:fill="auto"/>
            <w:vAlign w:val="center"/>
          </w:tcPr>
          <w:p w14:paraId="0DE00F14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F34CD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2706BA" w:rsidRPr="00DD3D65" w14:paraId="598AA9FC" w14:textId="77777777" w:rsidTr="00A54F9D">
        <w:trPr>
          <w:trHeight w:val="412"/>
        </w:trPr>
        <w:tc>
          <w:tcPr>
            <w:tcW w:w="5386" w:type="dxa"/>
            <w:shd w:val="clear" w:color="auto" w:fill="auto"/>
            <w:vAlign w:val="center"/>
          </w:tcPr>
          <w:p w14:paraId="01419915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A6111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2706BA" w:rsidRPr="00DD3D65" w14:paraId="0C57F6CF" w14:textId="77777777" w:rsidTr="00A54F9D">
        <w:trPr>
          <w:trHeight w:val="417"/>
        </w:trPr>
        <w:tc>
          <w:tcPr>
            <w:tcW w:w="5386" w:type="dxa"/>
            <w:shd w:val="clear" w:color="auto" w:fill="auto"/>
            <w:vAlign w:val="center"/>
          </w:tcPr>
          <w:p w14:paraId="37A80190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0C30F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2706BA" w:rsidRPr="00DD3D65" w14:paraId="6B8BFEAF" w14:textId="77777777" w:rsidTr="00A54F9D">
        <w:trPr>
          <w:trHeight w:val="409"/>
        </w:trPr>
        <w:tc>
          <w:tcPr>
            <w:tcW w:w="5386" w:type="dxa"/>
            <w:shd w:val="clear" w:color="auto" w:fill="auto"/>
            <w:vAlign w:val="center"/>
          </w:tcPr>
          <w:p w14:paraId="25A42D4E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AD577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2706BA" w:rsidRPr="00DD3D65" w14:paraId="762AACB9" w14:textId="77777777" w:rsidTr="00A54F9D">
        <w:trPr>
          <w:trHeight w:val="415"/>
        </w:trPr>
        <w:tc>
          <w:tcPr>
            <w:tcW w:w="5386" w:type="dxa"/>
            <w:shd w:val="clear" w:color="auto" w:fill="auto"/>
            <w:vAlign w:val="center"/>
          </w:tcPr>
          <w:p w14:paraId="74B67236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87E87" w14:textId="77777777" w:rsidR="002706BA" w:rsidRPr="00DD3D65" w:rsidRDefault="002706BA" w:rsidP="00A54F9D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709E122C" w14:textId="77777777" w:rsidR="002706BA" w:rsidRPr="00A54F9D" w:rsidRDefault="002706BA" w:rsidP="00A54F9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17108DE0" w:rsidR="00897BB7" w:rsidRPr="00DC00E8" w:rsidRDefault="00813F39" w:rsidP="00A54F9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A54F9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A54F9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A54F9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A54F9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A54F9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A54F9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A54F9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A54F9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A54F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A54F9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A54F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A54F9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C00E8" w:rsidRDefault="003A25D2" w:rsidP="00A54F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4B06CCC" w14:textId="77777777" w:rsidR="00D3361B" w:rsidRPr="00DC00E8" w:rsidRDefault="00D3361B" w:rsidP="00A54F9D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A54F9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A54F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A54F9D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A54F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A54F9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A54F9D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A54F9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A54F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A54F9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A54F9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A54F9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7C3112" w:rsidP="00A54F9D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7C3112" w:rsidP="00A54F9D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A54F9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A54F9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A54F9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A54F9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A54F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A54F9D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A54F9D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A54F9D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A54F9D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</w:t>
      </w:r>
      <w:r w:rsidRPr="009C3951">
        <w:rPr>
          <w:rFonts w:ascii="Arial" w:hAnsi="Arial" w:cs="Arial"/>
          <w:i/>
          <w:sz w:val="20"/>
          <w:szCs w:val="20"/>
        </w:rPr>
        <w:lastRenderedPageBreak/>
        <w:t xml:space="preserve">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A54F9D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A54F9D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A54F9D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A54F9D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A54F9D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A54F9D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A54F9D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A54F9D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A54F9D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A54F9D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A54F9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A54F9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A54F9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bookmarkStart w:id="2" w:name="_GoBack"/>
      <w:bookmarkEnd w:id="2"/>
    </w:p>
    <w:p w14:paraId="2C33ACF9" w14:textId="77777777" w:rsidR="00897BB7" w:rsidRPr="00DC00E8" w:rsidRDefault="00897BB7" w:rsidP="00A54F9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A54F9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A54F9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A54F9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A54F9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DC00E8" w:rsidRDefault="00897BB7" w:rsidP="00A54F9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A54F9D">
      <w:pPr>
        <w:spacing w:after="0" w:line="276" w:lineRule="auto"/>
      </w:pPr>
      <w:bookmarkStart w:id="3" w:name="_Hlk37412176"/>
      <w:bookmarkEnd w:id="3"/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17E0CEE">
                <wp:simplePos x="0" y="0"/>
                <wp:positionH relativeFrom="margin">
                  <wp:posOffset>3197860</wp:posOffset>
                </wp:positionH>
                <wp:positionV relativeFrom="paragraph">
                  <wp:posOffset>62230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1.8pt;margin-top:4.9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1429" w14:textId="77777777" w:rsidR="007C3112" w:rsidRDefault="007C3112" w:rsidP="00897BB7">
      <w:pPr>
        <w:spacing w:after="0" w:line="240" w:lineRule="auto"/>
      </w:pPr>
      <w:r>
        <w:separator/>
      </w:r>
    </w:p>
  </w:endnote>
  <w:endnote w:type="continuationSeparator" w:id="0">
    <w:p w14:paraId="6D4516F3" w14:textId="77777777" w:rsidR="007C3112" w:rsidRDefault="007C311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D7DEB" w:rsidRPr="007D7DEB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D7DEB" w:rsidRPr="007D7DE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0BD0" w14:textId="77777777" w:rsidR="007C3112" w:rsidRDefault="007C3112" w:rsidP="00897BB7">
      <w:pPr>
        <w:spacing w:after="0" w:line="240" w:lineRule="auto"/>
      </w:pPr>
      <w:r>
        <w:separator/>
      </w:r>
    </w:p>
  </w:footnote>
  <w:footnote w:type="continuationSeparator" w:id="0">
    <w:p w14:paraId="79B4D73B" w14:textId="77777777" w:rsidR="007C3112" w:rsidRDefault="007C311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C311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C311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C311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6C0EBFB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2706BA">
      <w:rPr>
        <w:rFonts w:ascii="Arial" w:hAnsi="Arial" w:cs="Arial"/>
        <w:sz w:val="16"/>
        <w:szCs w:val="16"/>
        <w:lang w:eastAsia="pl-PL"/>
      </w:rPr>
      <w:t>123</w:t>
    </w:r>
    <w:r w:rsidR="00D443D4">
      <w:rPr>
        <w:rFonts w:ascii="Arial" w:hAnsi="Arial" w:cs="Arial"/>
        <w:sz w:val="16"/>
        <w:szCs w:val="16"/>
        <w:lang w:eastAsia="pl-PL"/>
      </w:rPr>
      <w:t>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126521"/>
    <w:rsid w:val="001C768C"/>
    <w:rsid w:val="001F1481"/>
    <w:rsid w:val="001F45FC"/>
    <w:rsid w:val="002437C2"/>
    <w:rsid w:val="00243C28"/>
    <w:rsid w:val="002706BA"/>
    <w:rsid w:val="002D09A9"/>
    <w:rsid w:val="00307715"/>
    <w:rsid w:val="0034355B"/>
    <w:rsid w:val="00366406"/>
    <w:rsid w:val="003A25D2"/>
    <w:rsid w:val="003B22B0"/>
    <w:rsid w:val="003B75C2"/>
    <w:rsid w:val="00460F58"/>
    <w:rsid w:val="004A6444"/>
    <w:rsid w:val="004C4DC7"/>
    <w:rsid w:val="00515DC6"/>
    <w:rsid w:val="005D2D1D"/>
    <w:rsid w:val="005F5AD0"/>
    <w:rsid w:val="00627D38"/>
    <w:rsid w:val="00676D73"/>
    <w:rsid w:val="0069201E"/>
    <w:rsid w:val="006E28E5"/>
    <w:rsid w:val="007606C7"/>
    <w:rsid w:val="007C3112"/>
    <w:rsid w:val="007D7DEB"/>
    <w:rsid w:val="0080155B"/>
    <w:rsid w:val="00813F39"/>
    <w:rsid w:val="00856AD8"/>
    <w:rsid w:val="00897BB7"/>
    <w:rsid w:val="009A7945"/>
    <w:rsid w:val="009C2236"/>
    <w:rsid w:val="009F28C6"/>
    <w:rsid w:val="00A02ABA"/>
    <w:rsid w:val="00A16F87"/>
    <w:rsid w:val="00A210A3"/>
    <w:rsid w:val="00A54F9D"/>
    <w:rsid w:val="00AE1094"/>
    <w:rsid w:val="00AE1B1A"/>
    <w:rsid w:val="00AF6499"/>
    <w:rsid w:val="00B153AA"/>
    <w:rsid w:val="00B92135"/>
    <w:rsid w:val="00BD5ECE"/>
    <w:rsid w:val="00C2686A"/>
    <w:rsid w:val="00C30723"/>
    <w:rsid w:val="00C427CF"/>
    <w:rsid w:val="00C80DEB"/>
    <w:rsid w:val="00CE42AE"/>
    <w:rsid w:val="00D227D7"/>
    <w:rsid w:val="00D3361B"/>
    <w:rsid w:val="00D443D4"/>
    <w:rsid w:val="00D466B8"/>
    <w:rsid w:val="00DC00E8"/>
    <w:rsid w:val="00DD3D65"/>
    <w:rsid w:val="00E02EE1"/>
    <w:rsid w:val="00E50F19"/>
    <w:rsid w:val="00E641DB"/>
    <w:rsid w:val="00EA78C3"/>
    <w:rsid w:val="00F1618A"/>
    <w:rsid w:val="00F65EBD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F03D3B3-28B0-433D-8B54-20152E6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2022-11-29T12:02:00Z</dcterms:modified>
</cp:coreProperties>
</file>